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510"/>
        <w:gridCol w:w="592"/>
        <w:gridCol w:w="6216"/>
        <w:gridCol w:w="1247"/>
      </w:tblGrid>
      <w:tr w:rsidR="00930EF4" w14:paraId="6D4D5B70" w14:textId="77777777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DE13" w14:textId="77777777" w:rsidR="00930EF4" w:rsidRDefault="00440BC2">
            <w:pPr>
              <w:pStyle w:val="Standard"/>
              <w:jc w:val="both"/>
              <w:rPr>
                <w:rFonts w:ascii="Arial" w:eastAsia="Malgun Gothic" w:hAnsi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/>
                <w:color w:val="222222"/>
                <w:sz w:val="20"/>
                <w:szCs w:val="20"/>
                <w:lang w:val="en-US"/>
              </w:rPr>
              <w:t>The University of Costa Rica, request a complete proforma with the following information.</w:t>
            </w:r>
          </w:p>
        </w:tc>
      </w:tr>
      <w:tr w:rsidR="00930EF4" w14:paraId="695F6E5A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BE0A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1.</w:t>
            </w:r>
          </w:p>
        </w:tc>
        <w:tc>
          <w:tcPr>
            <w:tcW w:w="856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6445" w14:textId="77777777" w:rsidR="00930EF4" w:rsidRDefault="00440BC2">
            <w:pPr>
              <w:pStyle w:val="Standard"/>
              <w:jc w:val="both"/>
              <w:rPr>
                <w:rFonts w:ascii="Arial" w:eastAsia="Malgun Gothic" w:hAnsi="Arial"/>
                <w:color w:val="222222"/>
                <w:sz w:val="20"/>
                <w:szCs w:val="20"/>
                <w:lang/>
              </w:rPr>
            </w:pPr>
            <w:r>
              <w:rPr>
                <w:rFonts w:ascii="Arial" w:eastAsia="Malgun Gothic" w:hAnsi="Arial"/>
                <w:color w:val="222222"/>
                <w:sz w:val="20"/>
                <w:szCs w:val="20"/>
                <w:lang/>
              </w:rPr>
              <w:t>You should quote the following lines. Must be listed with detailed specifications.</w:t>
            </w:r>
          </w:p>
        </w:tc>
      </w:tr>
      <w:tr w:rsidR="00930EF4" w14:paraId="0F5DC71A" w14:textId="7777777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50E2" w14:textId="77777777" w:rsidR="00930EF4" w:rsidRDefault="00930EF4">
            <w:pPr>
              <w:pStyle w:val="NormalWeb"/>
              <w:spacing w:before="0" w:after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856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ADF1" w14:textId="77777777" w:rsidR="00930EF4" w:rsidRDefault="00930EF4">
            <w:pPr>
              <w:pStyle w:val="Standard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930EF4" w14:paraId="535B5A95" w14:textId="77777777">
        <w:tblPrEx>
          <w:tblCellMar>
            <w:top w:w="0" w:type="dxa"/>
            <w:bottom w:w="0" w:type="dxa"/>
          </w:tblCellMar>
        </w:tblPrEx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EE0A" w14:textId="77777777" w:rsidR="00930EF4" w:rsidRDefault="00440BC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Item No.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B4F3" w14:textId="77777777" w:rsidR="00930EF4" w:rsidRDefault="00440BC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9469" w14:textId="77777777" w:rsidR="00930EF4" w:rsidRDefault="00440BC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Total Cost</w:t>
            </w:r>
          </w:p>
        </w:tc>
      </w:tr>
      <w:tr w:rsidR="00930EF4" w14:paraId="01A6C442" w14:textId="77777777">
        <w:tblPrEx>
          <w:tblCellMar>
            <w:top w:w="0" w:type="dxa"/>
            <w:bottom w:w="0" w:type="dxa"/>
          </w:tblCellMar>
        </w:tblPrEx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EE92E" w14:textId="77777777" w:rsidR="00930EF4" w:rsidRDefault="00440BC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8EDC" w14:textId="77777777" w:rsidR="00930EF4" w:rsidRDefault="00440B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</w:t>
            </w:r>
            <w:r>
              <w:rPr>
                <w:rFonts w:ascii="Arial" w:hAnsi="Arial"/>
                <w:sz w:val="20"/>
                <w:szCs w:val="20"/>
              </w:rPr>
              <w:t xml:space="preserve"> (1) SICCO-Mini-Desiccator for Gas Filling Basic.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(V 1849-06).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5F38" w14:textId="77777777" w:rsidR="00930EF4" w:rsidRDefault="00440BC2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€0,00</w:t>
            </w:r>
          </w:p>
        </w:tc>
      </w:tr>
      <w:tr w:rsidR="00930EF4" w14:paraId="480F195B" w14:textId="77777777">
        <w:tblPrEx>
          <w:tblCellMar>
            <w:top w:w="0" w:type="dxa"/>
            <w:bottom w:w="0" w:type="dxa"/>
          </w:tblCellMar>
        </w:tblPrEx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D471" w14:textId="77777777" w:rsidR="00930EF4" w:rsidRDefault="00930EF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E34B" w14:textId="77777777" w:rsidR="00930EF4" w:rsidRDefault="00440B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One (1) BOLA-certificate DIN A4.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(XL003-150527).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9D60" w14:textId="77777777" w:rsidR="00930EF4" w:rsidRDefault="00930EF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30EF4" w14:paraId="164C1824" w14:textId="7777777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9BB8" w14:textId="77777777" w:rsidR="00930EF4" w:rsidRDefault="00440BC2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Packing.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8549" w14:textId="77777777" w:rsidR="00930EF4" w:rsidRDefault="00440BC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€0,00</w:t>
            </w:r>
          </w:p>
        </w:tc>
      </w:tr>
      <w:tr w:rsidR="00930EF4" w14:paraId="0A0C2BAF" w14:textId="7777777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CFA9" w14:textId="77777777" w:rsidR="00930EF4" w:rsidRDefault="00440BC2">
            <w:pPr>
              <w:pStyle w:val="Standard"/>
              <w:jc w:val="right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Freight – Postage (CPT Aduana Santamaría).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2ACF" w14:textId="77777777" w:rsidR="00930EF4" w:rsidRDefault="00440BC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€0,00</w:t>
            </w:r>
          </w:p>
        </w:tc>
      </w:tr>
      <w:tr w:rsidR="00930EF4" w14:paraId="3E9B9899" w14:textId="7777777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8A54" w14:textId="77777777" w:rsidR="00930EF4" w:rsidRDefault="00440BC2">
            <w:pPr>
              <w:pStyle w:val="Standard"/>
              <w:jc w:val="right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Bank Commission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B835F" w14:textId="77777777" w:rsidR="00930EF4" w:rsidRDefault="00440BC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€0,00</w:t>
            </w:r>
          </w:p>
        </w:tc>
      </w:tr>
      <w:tr w:rsidR="00930EF4" w14:paraId="36412631" w14:textId="7777777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EB30" w14:textId="77777777" w:rsidR="00930EF4" w:rsidRDefault="00440BC2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CPT, Aduana Santamaría,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Alajuela Costa Rica.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086D3" w14:textId="77777777" w:rsidR="00930EF4" w:rsidRDefault="00440BC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€0,00</w:t>
            </w:r>
          </w:p>
        </w:tc>
      </w:tr>
      <w:tr w:rsidR="00930EF4" w14:paraId="602E2B53" w14:textId="7777777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01F6" w14:textId="77777777" w:rsidR="00930EF4" w:rsidRDefault="00930EF4">
            <w:pPr>
              <w:pStyle w:val="NormalWeb"/>
              <w:spacing w:before="0" w:after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243D" w14:textId="77777777" w:rsidR="00930EF4" w:rsidRDefault="00930EF4">
            <w:pPr>
              <w:pStyle w:val="TableContents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930EF4" w14:paraId="542BE406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F008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2.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5DC9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Proforma has to come addressed on behalf of:</w:t>
            </w:r>
          </w:p>
        </w:tc>
      </w:tr>
      <w:tr w:rsidR="00930EF4" w14:paraId="22BEC15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7AB9F" w14:textId="77777777" w:rsidR="00930EF4" w:rsidRDefault="00440BC2">
            <w:pPr>
              <w:pStyle w:val="NormalWeb"/>
              <w:spacing w:before="0" w:after="0"/>
              <w:jc w:val="right"/>
              <w:rPr>
                <w:rFonts w:eastAsia="Malgun Gothic"/>
                <w:bCs/>
                <w:color w:val="333333"/>
                <w:sz w:val="20"/>
                <w:szCs w:val="20"/>
                <w:shd w:val="clear" w:color="auto" w:fill="FFFFFF"/>
                <w:lang w:val="es-CR"/>
              </w:rPr>
            </w:pPr>
            <w:r>
              <w:rPr>
                <w:rFonts w:eastAsia="Malgun Gothic"/>
                <w:bCs/>
                <w:color w:val="333333"/>
                <w:sz w:val="20"/>
                <w:szCs w:val="20"/>
                <w:shd w:val="clear" w:color="auto" w:fill="FFFFFF"/>
                <w:lang w:val="es-CR"/>
              </w:rPr>
              <w:t>2.1.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CCC1" w14:textId="77777777" w:rsidR="00930EF4" w:rsidRDefault="00440BC2">
            <w:pPr>
              <w:pStyle w:val="Standard"/>
              <w:jc w:val="both"/>
              <w:rPr>
                <w:rFonts w:ascii="Arial" w:eastAsia="Malgun Gothic" w:hAnsi="Arial"/>
                <w:color w:val="333333"/>
                <w:sz w:val="20"/>
                <w:szCs w:val="20"/>
                <w:shd w:val="clear" w:color="auto" w:fill="FFFFFF"/>
                <w:lang w:val="es-CR"/>
              </w:rPr>
            </w:pPr>
            <w:r>
              <w:rPr>
                <w:rFonts w:ascii="Arial" w:eastAsia="Malgun Gothic" w:hAnsi="Arial"/>
                <w:color w:val="333333"/>
                <w:sz w:val="20"/>
                <w:szCs w:val="20"/>
                <w:shd w:val="clear" w:color="auto" w:fill="FFFFFF"/>
                <w:lang w:val="es-CR"/>
              </w:rPr>
              <w:t xml:space="preserve">University of Costa Rica, Office Supplies, Procurement Unit. Sports Facilities of the University of Costa Rica, 200 meters east and 500 meters north. Sabanilla, </w:t>
            </w:r>
            <w:r>
              <w:rPr>
                <w:rFonts w:ascii="Arial" w:eastAsia="Malgun Gothic" w:hAnsi="Arial"/>
                <w:color w:val="333333"/>
                <w:sz w:val="20"/>
                <w:szCs w:val="20"/>
                <w:shd w:val="clear" w:color="auto" w:fill="FFFFFF"/>
                <w:lang w:val="es-CR"/>
              </w:rPr>
              <w:t>Montes de Oca. San Jose Costa Rica</w:t>
            </w:r>
          </w:p>
        </w:tc>
      </w:tr>
      <w:tr w:rsidR="00930EF4" w14:paraId="35DDFD2A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B793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 xml:space="preserve"> 3.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2B05" w14:textId="77777777" w:rsidR="00930EF4" w:rsidRDefault="00440B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The proforma or reference number must be indicated.</w:t>
            </w:r>
          </w:p>
        </w:tc>
      </w:tr>
      <w:tr w:rsidR="00930EF4" w14:paraId="5B014E2E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FD64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4.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BA99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You must indicate the currency of the proforma</w:t>
            </w:r>
          </w:p>
        </w:tc>
      </w:tr>
      <w:tr w:rsidR="00930EF4" w14:paraId="005D5C4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294E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5.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7311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The date must be updated.</w:t>
            </w:r>
          </w:p>
        </w:tc>
      </w:tr>
      <w:tr w:rsidR="00930EF4" w14:paraId="6B1CCEC5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92AC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6.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999C4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Indicate the effect of the pro forma, must have at least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60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 xml:space="preserve"> working days.</w:t>
            </w:r>
          </w:p>
        </w:tc>
      </w:tr>
      <w:tr w:rsidR="00930EF4" w14:paraId="6183622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546D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7.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4B2FC" w14:textId="77777777" w:rsidR="00930EF4" w:rsidRDefault="00440BC2">
            <w:pPr>
              <w:pStyle w:val="Standard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Indicate the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delivery period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val="en-US"/>
              </w:rPr>
              <w:t xml:space="preserve">SICCO-Mini-Desiccator for Gas Filling Basic.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(V 1849-06)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val="en-US"/>
              </w:rPr>
              <w:t xml:space="preserve">BOLA-certificate DIN A4.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(XL003-150527)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30EF4" w14:paraId="6187D0EB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A479" w14:textId="77777777" w:rsidR="00930EF4" w:rsidRDefault="00440BC2">
            <w:pPr>
              <w:pStyle w:val="NormalWeb"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8.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5B92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Indicate the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method of payment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 Payment is made by bank transfer. To do so must provide the following information:</w:t>
            </w:r>
          </w:p>
        </w:tc>
      </w:tr>
      <w:tr w:rsidR="00930EF4" w14:paraId="7A04680D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C241" w14:textId="77777777" w:rsidR="00930EF4" w:rsidRDefault="00440BC2">
            <w:pPr>
              <w:pStyle w:val="Standard"/>
              <w:jc w:val="right"/>
              <w:rPr>
                <w:rFonts w:ascii="Arial" w:eastAsia="Malgun Gothic" w:hAnsi="Arial"/>
                <w:b/>
                <w:bCs/>
                <w:color w:val="333333"/>
                <w:sz w:val="20"/>
                <w:szCs w:val="20"/>
                <w:shd w:val="clear" w:color="auto" w:fill="FFFFFF"/>
                <w:lang w:val="es-CR"/>
              </w:rPr>
            </w:pPr>
            <w:r>
              <w:rPr>
                <w:rFonts w:ascii="Arial" w:eastAsia="Malgun Gothic" w:hAnsi="Arial"/>
                <w:b/>
                <w:bCs/>
                <w:color w:val="333333"/>
                <w:sz w:val="20"/>
                <w:szCs w:val="20"/>
                <w:shd w:val="clear" w:color="auto" w:fill="FFFFFF"/>
                <w:lang w:val="es-CR"/>
              </w:rPr>
              <w:t>8.1.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D42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Name of the bank.</w:t>
            </w:r>
          </w:p>
        </w:tc>
      </w:tr>
      <w:tr w:rsidR="00930EF4" w14:paraId="65A2FD9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BB14" w14:textId="77777777" w:rsidR="00930EF4" w:rsidRDefault="00440BC2">
            <w:pPr>
              <w:pStyle w:val="Standard"/>
              <w:jc w:val="right"/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  <w:t>8</w:t>
            </w:r>
            <w:r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  <w:t>.2.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A796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Bank address.</w:t>
            </w:r>
          </w:p>
        </w:tc>
      </w:tr>
      <w:tr w:rsidR="00930EF4" w14:paraId="4D0A6B9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1487" w14:textId="77777777" w:rsidR="00930EF4" w:rsidRDefault="00440BC2">
            <w:pPr>
              <w:pStyle w:val="Standard"/>
              <w:jc w:val="right"/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  <w:t>8.3.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4421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Swift code.</w:t>
            </w:r>
          </w:p>
        </w:tc>
      </w:tr>
      <w:tr w:rsidR="00930EF4" w14:paraId="5C7EC3F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E9C9C" w14:textId="77777777" w:rsidR="00930EF4" w:rsidRDefault="00440BC2">
            <w:pPr>
              <w:pStyle w:val="Standard"/>
              <w:jc w:val="right"/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  <w:t>8.4.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ABFD9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ABBA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code.</w:t>
            </w:r>
          </w:p>
        </w:tc>
      </w:tr>
      <w:tr w:rsidR="00930EF4" w14:paraId="42F71A3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1D127" w14:textId="77777777" w:rsidR="00930EF4" w:rsidRDefault="00440BC2">
            <w:pPr>
              <w:pStyle w:val="Standard"/>
              <w:jc w:val="right"/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ascii="Arial" w:eastAsia="Malgun Gothic" w:hAnsi="Arial"/>
                <w:b/>
                <w:bCs/>
                <w:color w:val="222222"/>
                <w:sz w:val="20"/>
                <w:szCs w:val="20"/>
                <w:lang/>
              </w:rPr>
              <w:t>8.5.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6B88" w14:textId="77777777" w:rsidR="00930EF4" w:rsidRDefault="00440BC2">
            <w:pPr>
              <w:pStyle w:val="Standard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Account name.</w:t>
            </w:r>
          </w:p>
        </w:tc>
      </w:tr>
      <w:tr w:rsidR="00930EF4" w14:paraId="476EF6D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6B490" w14:textId="77777777" w:rsidR="00930EF4" w:rsidRDefault="00440BC2">
            <w:pPr>
              <w:pStyle w:val="NormalWeb"/>
              <w:spacing w:before="0" w:after="0"/>
              <w:jc w:val="right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8.6.</w:t>
            </w:r>
          </w:p>
        </w:tc>
        <w:tc>
          <w:tcPr>
            <w:tcW w:w="8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AB57" w14:textId="77777777" w:rsidR="00930EF4" w:rsidRDefault="00440B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Account number.</w:t>
            </w:r>
          </w:p>
        </w:tc>
      </w:tr>
      <w:tr w:rsidR="00930EF4" w14:paraId="5202C866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1523" w14:textId="77777777" w:rsidR="00930EF4" w:rsidRDefault="00440BC2">
            <w:pPr>
              <w:pStyle w:val="NormalWeb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9.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8555" w14:textId="77777777" w:rsidR="00930EF4" w:rsidRDefault="00440BC2">
            <w:pPr>
              <w:pStyle w:val="Standard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Proforma must be signed.</w:t>
            </w:r>
          </w:p>
        </w:tc>
      </w:tr>
      <w:tr w:rsidR="00930EF4" w14:paraId="6F508D6F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C593" w14:textId="77777777" w:rsidR="00930EF4" w:rsidRDefault="00440BC2">
            <w:pPr>
              <w:pStyle w:val="NormalWeb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10.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6E0C" w14:textId="77777777" w:rsidR="00930EF4" w:rsidRDefault="00440BC2">
            <w:pPr>
              <w:pStyle w:val="Standard"/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If the University should cover the cost of an International Banking Commission, it shall be reflected in the proforma.</w:t>
            </w:r>
          </w:p>
        </w:tc>
      </w:tr>
      <w:tr w:rsidR="00930EF4" w14:paraId="151A488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DBAE" w14:textId="77777777" w:rsidR="00930EF4" w:rsidRDefault="00440BC2">
            <w:pPr>
              <w:pStyle w:val="NormalWeb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11.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5B87" w14:textId="77777777" w:rsidR="00930EF4" w:rsidRDefault="00440BC2">
            <w:pPr>
              <w:pStyle w:val="Standard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place of delivery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of the equipment for customs clearance must be pointed out that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Customs is Santamaria, Alajuela Costa Rica.</w:t>
            </w:r>
          </w:p>
        </w:tc>
      </w:tr>
      <w:tr w:rsidR="00930EF4" w14:paraId="58931D2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15EC" w14:textId="77777777" w:rsidR="00930EF4" w:rsidRDefault="00440BC2">
            <w:pPr>
              <w:pStyle w:val="NormalWeb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shd w:val="clear" w:color="auto" w:fill="FFFFFF"/>
                <w:lang/>
              </w:rPr>
              <w:t>12.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BF07" w14:textId="77777777" w:rsidR="00930EF4" w:rsidRDefault="00440BC2">
            <w:pPr>
              <w:pStyle w:val="Standard"/>
              <w:rPr>
                <w:rFonts w:ascii="Arial" w:eastAsia="Malgun Gothic" w:hAnsi="Arial"/>
                <w:color w:val="333333"/>
                <w:sz w:val="20"/>
                <w:szCs w:val="20"/>
                <w:shd w:val="clear" w:color="auto" w:fill="FFFFFF"/>
                <w:lang w:val="es-CR"/>
              </w:rPr>
            </w:pPr>
            <w:r>
              <w:rPr>
                <w:rFonts w:ascii="Arial" w:eastAsia="Malgun Gothic" w:hAnsi="Arial"/>
                <w:color w:val="333333"/>
                <w:sz w:val="20"/>
                <w:szCs w:val="20"/>
                <w:shd w:val="clear" w:color="auto" w:fill="FFFFFF"/>
                <w:lang w:val="es-CR"/>
              </w:rPr>
              <w:t>The AWB must be entered on behalf of University of Costa Rica, Office Supplies, Procurement Unit. Sports facilities of the University of Costa</w:t>
            </w:r>
            <w:r>
              <w:rPr>
                <w:rFonts w:ascii="Arial" w:eastAsia="Malgun Gothic" w:hAnsi="Arial"/>
                <w:color w:val="333333"/>
                <w:sz w:val="20"/>
                <w:szCs w:val="20"/>
                <w:shd w:val="clear" w:color="auto" w:fill="FFFFFF"/>
                <w:lang w:val="es-CR"/>
              </w:rPr>
              <w:t xml:space="preserve"> Rica, 200 meters east and 500 meters north. Sabanilla, Montes de Oca. San Jose Costa Rica.</w:t>
            </w:r>
          </w:p>
        </w:tc>
      </w:tr>
      <w:tr w:rsidR="00930EF4" w14:paraId="1C4762E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1294" w14:textId="77777777" w:rsidR="00930EF4" w:rsidRDefault="00440BC2">
            <w:pPr>
              <w:pStyle w:val="NormalWeb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13.</w:t>
            </w:r>
          </w:p>
        </w:tc>
        <w:tc>
          <w:tcPr>
            <w:tcW w:w="85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C7954" w14:textId="77777777" w:rsidR="00930EF4" w:rsidRDefault="00440BC2">
            <w:pPr>
              <w:pStyle w:val="Standard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The letter of representation in Costa Rica must be attached.</w:t>
            </w:r>
          </w:p>
        </w:tc>
      </w:tr>
      <w:tr w:rsidR="00930EF4" w14:paraId="6E88A9EE" w14:textId="77777777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49FF" w14:textId="77777777" w:rsidR="00930EF4" w:rsidRDefault="00440BC2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</w:pPr>
            <w:bookmarkStart w:id="0" w:name="result_box1"/>
            <w:bookmarkEnd w:id="0"/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 xml:space="preserve">Once the proforma has the V ° B ° of the Administration, for the respective payment it will be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necessary to send the original offer by courier.</w:t>
            </w:r>
          </w:p>
        </w:tc>
      </w:tr>
      <w:tr w:rsidR="00930EF4" w14:paraId="7689E7E3" w14:textId="77777777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F7B1" w14:textId="77777777" w:rsidR="00930EF4" w:rsidRDefault="00440BC2">
            <w:pPr>
              <w:pStyle w:val="Standard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Any inquiries are to serve them, says goodbye cordially;</w:t>
            </w:r>
          </w:p>
        </w:tc>
      </w:tr>
    </w:tbl>
    <w:p w14:paraId="2391DE36" w14:textId="77777777" w:rsidR="00930EF4" w:rsidRDefault="00930EF4">
      <w:pPr>
        <w:pStyle w:val="NormalWeb"/>
        <w:spacing w:before="0" w:after="0"/>
        <w:jc w:val="both"/>
        <w:rPr>
          <w:rFonts w:eastAsia="Malgun Gothic"/>
          <w:color w:val="222222"/>
          <w:sz w:val="20"/>
          <w:szCs w:val="20"/>
          <w:lang/>
        </w:rPr>
      </w:pPr>
    </w:p>
    <w:sectPr w:rsidR="00930EF4">
      <w:pgSz w:w="12240" w:h="15840"/>
      <w:pgMar w:top="1417" w:right="1701" w:bottom="1417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33D9" w14:textId="77777777" w:rsidR="00000000" w:rsidRDefault="00440BC2">
      <w:pPr>
        <w:spacing w:after="0" w:line="240" w:lineRule="auto"/>
      </w:pPr>
      <w:r>
        <w:separator/>
      </w:r>
    </w:p>
  </w:endnote>
  <w:endnote w:type="continuationSeparator" w:id="0">
    <w:p w14:paraId="2B43B8CF" w14:textId="77777777" w:rsidR="00000000" w:rsidRDefault="0044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8314" w14:textId="77777777" w:rsidR="00000000" w:rsidRDefault="00440BC2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54D5679" w14:textId="77777777" w:rsidR="00000000" w:rsidRDefault="0044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A24"/>
    <w:multiLevelType w:val="multilevel"/>
    <w:tmpl w:val="C442B65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7B17133"/>
    <w:multiLevelType w:val="multilevel"/>
    <w:tmpl w:val="EE6E7AD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0EF4"/>
    <w:rsid w:val="00440BC2"/>
    <w:rsid w:val="009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95E4"/>
  <w15:docId w15:val="{4F5A6943-4439-4AE6-82C2-AB4320A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pPr>
      <w:spacing w:before="280" w:after="280"/>
    </w:pPr>
    <w:rPr>
      <w:rFonts w:ascii="Arial" w:eastAsia="Arial" w:hAnsi="Arial" w:cs="Arial"/>
      <w:b/>
      <w:sz w:val="24"/>
      <w:szCs w:val="24"/>
      <w:lang w:eastAsia="es-CR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character" w:customStyle="1" w:styleId="hps">
    <w:name w:val="hps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  <w:sz w:val="18"/>
      <w:szCs w:val="18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" w:hAnsi="Arial" w:cs="Arial"/>
      <w:b/>
      <w:sz w:val="16"/>
      <w:szCs w:val="16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8Num7">
    <w:name w:val="WW8Num7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Robles Loaiza</dc:creator>
  <cp:lastModifiedBy>Oscar Gonzalez Sancho</cp:lastModifiedBy>
  <cp:revision>2</cp:revision>
  <cp:lastPrinted>2017-07-24T14:49:00Z</cp:lastPrinted>
  <dcterms:created xsi:type="dcterms:W3CDTF">2021-10-07T21:59:00Z</dcterms:created>
  <dcterms:modified xsi:type="dcterms:W3CDTF">2021-10-07T21:59:00Z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